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3FFB" w14:textId="22891640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462B3FFB" w14:textId="22891640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AC8D6B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297AAB">
        <w:rPr>
          <w:rFonts w:ascii="Monotype Corsiva" w:hAnsi="Monotype Corsiva"/>
          <w:sz w:val="40"/>
          <w:szCs w:val="40"/>
        </w:rPr>
        <w:t>10/</w:t>
      </w:r>
      <w:r w:rsidR="00B0558A">
        <w:rPr>
          <w:rFonts w:ascii="Monotype Corsiva" w:hAnsi="Monotype Corsiva"/>
          <w:sz w:val="40"/>
          <w:szCs w:val="40"/>
        </w:rPr>
        <w:t>2</w:t>
      </w:r>
      <w:r w:rsidR="004B42DF">
        <w:rPr>
          <w:rFonts w:ascii="Monotype Corsiva" w:hAnsi="Monotype Corsiva"/>
          <w:sz w:val="40"/>
          <w:szCs w:val="40"/>
        </w:rPr>
        <w:t>8</w:t>
      </w:r>
      <w:r w:rsidR="006D6531">
        <w:rPr>
          <w:rFonts w:ascii="Monotype Corsiva" w:hAnsi="Monotype Corsiva"/>
          <w:sz w:val="40"/>
          <w:szCs w:val="40"/>
        </w:rPr>
        <w:t>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062607">
        <w:rPr>
          <w:rFonts w:ascii="Monotype Corsiva" w:hAnsi="Monotype Corsiva"/>
          <w:sz w:val="40"/>
          <w:szCs w:val="40"/>
        </w:rPr>
        <w:t>1</w:t>
      </w:r>
      <w:r w:rsidR="004B42DF">
        <w:rPr>
          <w:rFonts w:ascii="Monotype Corsiva" w:hAnsi="Monotype Corsiva"/>
          <w:sz w:val="40"/>
          <w:szCs w:val="40"/>
        </w:rPr>
        <w:t>1/02</w:t>
      </w:r>
      <w:r w:rsidR="006D6531">
        <w:rPr>
          <w:rFonts w:ascii="Monotype Corsiva" w:hAnsi="Monotype Corsiva"/>
          <w:sz w:val="40"/>
          <w:szCs w:val="40"/>
        </w:rPr>
        <w:t>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4FECC162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</w:t>
      </w:r>
      <w:r w:rsidR="00B514C8" w:rsidRPr="001B168C">
        <w:rPr>
          <w:rFonts w:ascii="Cambria" w:hAnsi="Cambria"/>
          <w:sz w:val="21"/>
          <w:szCs w:val="21"/>
          <w:u w:val="single"/>
        </w:rPr>
        <w:t>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B5094E">
        <w:rPr>
          <w:rFonts w:ascii="Cambria" w:hAnsi="Cambria"/>
          <w:sz w:val="21"/>
          <w:szCs w:val="21"/>
          <w:u w:val="single"/>
        </w:rPr>
        <w:t>Biology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29858D96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85" w14:textId="2F883BD1" w:rsidR="00633D9D" w:rsidRPr="000A52CF" w:rsidRDefault="18F65B7F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>Cv</w:t>
            </w:r>
            <w:proofErr w:type="spellEnd"/>
          </w:p>
          <w:p w14:paraId="0AAC6C0C" w14:textId="0BE554A7" w:rsidR="00633D9D" w:rsidRPr="000A52CF" w:rsidRDefault="00633D9D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14:paraId="3EBFED87" w14:textId="5235B9A4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29858D9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39C4E" w14:textId="77777777" w:rsidR="00B0088C" w:rsidRDefault="00B0088C" w:rsidP="00B0088C">
            <w:pPr>
              <w:widowControl w:val="0"/>
              <w:spacing w:line="240" w:lineRule="auto"/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12A02817" w14:textId="77777777" w:rsidR="00B0088C" w:rsidRDefault="00B0088C" w:rsidP="00B0088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</w:t>
            </w:r>
          </w:p>
          <w:p w14:paraId="252EC656" w14:textId="77777777" w:rsidR="00B0088C" w:rsidRPr="006D32FE" w:rsidRDefault="00B0088C" w:rsidP="00B0088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 2</w:t>
            </w:r>
          </w:p>
          <w:p w14:paraId="0E7B8BC4" w14:textId="77777777" w:rsidR="00B0088C" w:rsidRPr="006D32FE" w:rsidRDefault="00B0088C" w:rsidP="00B0088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Number(s):  47-57, 242-269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7F213" w14:textId="77777777" w:rsidR="007601AE" w:rsidRPr="006D32FE" w:rsidRDefault="007601AE" w:rsidP="007601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: Cells: </w:t>
            </w:r>
          </w:p>
          <w:p w14:paraId="543EB372" w14:textId="77777777" w:rsidR="007601AE" w:rsidRDefault="007601AE" w:rsidP="007601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42094E0B" w14:textId="35D5BE07" w:rsidR="00A410A7" w:rsidRPr="006D32FE" w:rsidRDefault="00A410A7" w:rsidP="00C6427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FA65" w14:textId="77777777" w:rsidR="007601AE" w:rsidRPr="006D32FE" w:rsidRDefault="007601AE" w:rsidP="007601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2 : Cells: </w:t>
            </w:r>
          </w:p>
          <w:p w14:paraId="2C07E875" w14:textId="77777777" w:rsidR="007601AE" w:rsidRDefault="007601AE" w:rsidP="007601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7A03C3D9" w14:textId="7F18080E" w:rsidR="00A410A7" w:rsidRPr="006D32FE" w:rsidRDefault="00A410A7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1E547C7D" w:rsidR="00A410A7" w:rsidRPr="006D32FE" w:rsidRDefault="00CB226B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B22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 Division &amp; Reproduction: DNA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75A807BD" w:rsidR="00A410A7" w:rsidRPr="006D32FE" w:rsidRDefault="00CB226B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B22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 Division &amp; Reproduction: DNA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20784C8B" w:rsidR="00A410A7" w:rsidRPr="006D32FE" w:rsidRDefault="00CB226B" w:rsidP="00C6427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B226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 2 Cells: Cell Division &amp; Reproduction: DNA</w:t>
            </w:r>
          </w:p>
        </w:tc>
      </w:tr>
      <w:tr w:rsidR="00A410A7" w:rsidRPr="006D32FE" w14:paraId="43D4F6AC" w14:textId="77777777" w:rsidTr="29858D9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28AE" w14:textId="77777777" w:rsidR="00E56804" w:rsidRDefault="00E56804" w:rsidP="00322EB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BIO1.LS</w:t>
            </w: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3.1: </w:t>
            </w:r>
          </w:p>
          <w:p w14:paraId="1B325804" w14:textId="77777777" w:rsidR="003037C4" w:rsidRDefault="00E56804" w:rsidP="00E5680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Model Chromosome progression through meiosis and fertilization in order to argue the process of sexual production lead to both genetic similarities and variation in </w:t>
            </w:r>
            <w:proofErr w:type="spellStart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diplod</w:t>
            </w:r>
            <w:proofErr w:type="spellEnd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organisms. Compare and Contrast the processes of sexual and asexual reproduction, identifying the advantages and disadvantages of each</w:t>
            </w:r>
          </w:p>
          <w:p w14:paraId="05C4C478" w14:textId="77777777" w:rsidR="00322EBF" w:rsidRDefault="00322EBF" w:rsidP="00E5680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</w:p>
          <w:p w14:paraId="5BA0D33F" w14:textId="0D9741BD" w:rsidR="001855B4" w:rsidRPr="006D32FE" w:rsidRDefault="00322EBF" w:rsidP="00E56804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322EB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BIO1.LS1.3 Integrate evidence to develop a structural model of a DNA molecule. Using the model, develop and communicate an explanation for how DNA serves as a template for </w:t>
            </w:r>
            <w:proofErr w:type="spellStart"/>
            <w:r w:rsidRPr="00322EBF">
              <w:rPr>
                <w:rFonts w:ascii="Cambria" w:hAnsi="Cambria" w:cs="Segoe UI"/>
                <w:color w:val="000000"/>
                <w:sz w:val="20"/>
                <w:szCs w:val="20"/>
              </w:rPr>
              <w:t>self replication</w:t>
            </w:r>
            <w:proofErr w:type="spellEnd"/>
            <w:r w:rsidRPr="00322EBF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and encodes biological information.</w:t>
            </w:r>
          </w:p>
        </w:tc>
      </w:tr>
      <w:tr w:rsidR="00A410A7" w:rsidRPr="006D32FE" w14:paraId="17DA884E" w14:textId="77777777" w:rsidTr="29858D96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0836A171" w:rsidR="00A410A7" w:rsidRPr="006D32FE" w:rsidRDefault="003422D0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CB226B" w:rsidRPr="00CB226B">
              <w:rPr>
                <w:rFonts w:ascii="Cambria" w:hAnsi="Cambria"/>
                <w:sz w:val="20"/>
                <w:szCs w:val="20"/>
              </w:rPr>
              <w:t>use evidence IOT develop a structural model of a DNA molecule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4E59A5D7" w:rsidR="00A410A7" w:rsidRPr="006D32FE" w:rsidRDefault="003422D0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</w:t>
            </w:r>
            <w:r w:rsidR="00CB226B" w:rsidRPr="00CB226B">
              <w:rPr>
                <w:rFonts w:ascii="Cambria" w:hAnsi="Cambria"/>
                <w:sz w:val="20"/>
                <w:szCs w:val="20"/>
              </w:rPr>
              <w:t>use evidence IOT develop a structural model of a DNA molecule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207B6CBB" w:rsidR="00A410A7" w:rsidRPr="006D32FE" w:rsidRDefault="00B61461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="00CB226B" w:rsidRPr="00CB226B">
              <w:rPr>
                <w:rFonts w:ascii="Cambria" w:hAnsi="Cambria"/>
                <w:sz w:val="20"/>
                <w:szCs w:val="20"/>
              </w:rPr>
              <w:t xml:space="preserve"> use evidence IOT develop a structural model of a DNA molecule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6836A70C" w:rsidR="00A410A7" w:rsidRPr="006D32FE" w:rsidRDefault="00B61461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32D6" w:rsidRPr="002C32D6">
              <w:t xml:space="preserve"> </w:t>
            </w:r>
            <w:r w:rsidR="002C32D6" w:rsidRPr="002C32D6">
              <w:rPr>
                <w:rFonts w:ascii="Cambria" w:hAnsi="Cambria"/>
                <w:sz w:val="20"/>
                <w:szCs w:val="20"/>
              </w:rPr>
              <w:t>use a model of a DNA molecule IOT communicate how DNA serves as a template for replicating and encoding biological information.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241720E6" w:rsidR="00A410A7" w:rsidRPr="006D32FE" w:rsidRDefault="00A0476D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</w:t>
            </w:r>
            <w:r w:rsidRPr="0076603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32D6" w:rsidRPr="002C32D6">
              <w:t xml:space="preserve"> </w:t>
            </w:r>
            <w:r w:rsidR="002C32D6" w:rsidRPr="002C32D6">
              <w:rPr>
                <w:rFonts w:ascii="Cambria" w:hAnsi="Cambria"/>
                <w:sz w:val="20"/>
                <w:szCs w:val="20"/>
              </w:rPr>
              <w:t>use a model of a DNA molecule IOT communicate how DNA serves as a template for replicating and encoding biological information.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4812" w14:textId="0B87D36E" w:rsidR="00C03086" w:rsidRPr="006D32FE" w:rsidRDefault="00C03086" w:rsidP="00C03086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C03086">
              <w:rPr>
                <w:rFonts w:ascii="Cambria" w:hAnsi="Cambria"/>
                <w:color w:val="FF0000"/>
                <w:sz w:val="20"/>
                <w:szCs w:val="20"/>
              </w:rPr>
              <w:t>Many students confuse the structure of DNA in these ways: • DNA is a living thing. • Different cells within an organism have different DNA. • Only animal cells have DNA. • DNA is rarely single stranded, while RNA is regularly single stranded. • DNA has thymine, but RNA has uracil. • DNA is found as a double helix, while RNA forms structures from base pairing within the RNA molecule.</w:t>
            </w:r>
          </w:p>
          <w:p w14:paraId="7B34699B" w14:textId="3AD35AC3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C1CEA54" w:rsidR="00955D52" w:rsidRPr="006D32FE" w:rsidRDefault="00955D52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0AA1C5F4" w:rsidR="00364713" w:rsidRPr="006D32FE" w:rsidRDefault="00EA1A1C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A1A1C">
              <w:rPr>
                <w:rFonts w:ascii="Cambria" w:hAnsi="Cambria"/>
                <w:sz w:val="20"/>
                <w:szCs w:val="20"/>
              </w:rPr>
              <w:t>Many students confuse DNA replication in these ways • A DNA sequence can only be replicated in a cell if it originated in the given cell. Students should learn that DNA replication is non-specific. • Students misunderstand that the unzipping process in DNA replication is the breaking of hydrogen bonds between complementary base pairs to separate the two DNA strands.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F6D832D" w:rsidR="00955D52" w:rsidRPr="006D32FE" w:rsidRDefault="00EA1A1C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A1A1C">
              <w:rPr>
                <w:rFonts w:ascii="Cambria" w:hAnsi="Cambria"/>
                <w:sz w:val="20"/>
                <w:szCs w:val="20"/>
              </w:rPr>
              <w:t>The unwinding process is the untwisting of the DNA double helix. • The triplet of 3 bases that forms the genetic code is known as base triplet in DNA, codon in mRNA, and anticodon in tRNA.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79186" w14:textId="77777777" w:rsidR="00865CE8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Formula for photosynthesis</w:t>
            </w:r>
          </w:p>
          <w:p w14:paraId="4BDBB2DF" w14:textId="77777777" w:rsidR="007470C5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48A7085D" w14:textId="06C28D5F" w:rsidR="007470C5" w:rsidRPr="006D32FE" w:rsidRDefault="007470C5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Who are LDR and LIR connected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18C0AB95" w:rsidR="00865CE8" w:rsidRPr="006D32FE" w:rsidRDefault="000134D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Briefly describe </w:t>
            </w:r>
            <w:r w:rsidR="000E5B02">
              <w:rPr>
                <w:rFonts w:ascii="Cambria" w:hAnsi="Cambria"/>
                <w:sz w:val="20"/>
                <w:szCs w:val="20"/>
              </w:rPr>
              <w:t>differences of cell respiration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1826A38D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do cells grow and develop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01E4A31" w:rsidR="00865CE8" w:rsidRPr="006D32FE" w:rsidRDefault="0036471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What are th</w:t>
            </w:r>
            <w:r w:rsidR="00066BFA">
              <w:rPr>
                <w:rFonts w:ascii="Cambria" w:hAnsi="Cambria"/>
                <w:sz w:val="20"/>
                <w:szCs w:val="20"/>
              </w:rPr>
              <w:t>e three checkpoints of cell growth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A13F214" w:rsidR="00CF7DEA" w:rsidRPr="006D32FE" w:rsidRDefault="00066BF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 the differences of checkpoints in cell growth</w:t>
            </w:r>
          </w:p>
        </w:tc>
      </w:tr>
      <w:tr w:rsidR="00A410A7" w:rsidRPr="006D32FE" w14:paraId="371DE99B" w14:textId="77777777" w:rsidTr="29858D96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48C4E008" w:rsid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Group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10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09762B6A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Peer work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1CC1AF" w14:textId="301E7216" w:rsidR="00C80C96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Group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7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</w:tc>
      </w:tr>
      <w:tr w:rsidR="00A410A7" w:rsidRPr="006D32FE" w14:paraId="23531563" w14:textId="77777777" w:rsidTr="29858D96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3FF5" w14:textId="4FB37170" w:rsidR="006B7DBD" w:rsidRDefault="002542FC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Explore • Interactivity: Limits to Cell Size • Quick Lab: Make a Model of Mitosis or p. 347 • Lab: Cell Cycle • Interactivity: Exploring Mitosis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A6F2E9F" w14:textId="084323B1" w:rsidR="006B7DBD" w:rsidRPr="006D32FE" w:rsidRDefault="006B7DBD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97531E1" w:rsidR="00CF7DEA" w:rsidRPr="006D32FE" w:rsidRDefault="002542FC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76BF3">
              <w:rPr>
                <w:rFonts w:ascii="Cambria" w:hAnsi="Cambria"/>
                <w:sz w:val="20"/>
                <w:szCs w:val="20"/>
              </w:rPr>
              <w:t>Explore • Interactivity: Limits to Cell Size • Quick Lab: Make a Model of Mitosis or p. 347 • Lab: Cell Cycle • Interactivity: Exploring Mitosis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452C2CF5" w:rsidR="00CF7DEA" w:rsidRPr="006D32FE" w:rsidRDefault="002542FC" w:rsidP="00AA5D83">
            <w:pPr>
              <w:rPr>
                <w:rFonts w:ascii="Cambria" w:hAnsi="Cambria"/>
                <w:sz w:val="20"/>
                <w:szCs w:val="20"/>
              </w:rPr>
            </w:pPr>
            <w:r w:rsidRPr="006B7DBD">
              <w:rPr>
                <w:rFonts w:ascii="Cambria" w:hAnsi="Cambria"/>
                <w:sz w:val="20"/>
                <w:szCs w:val="20"/>
              </w:rPr>
              <w:t>• Analyzing Data: The Rise and Fall of Cyclin or p. 352 • Science Skills Activity: Investigating Cell Regulation • Controls on Cell Division; TE p. 351 • Interactivity: Regulating Cell Growth • Cancer: Uncontrolled Cell Growth; TE p. 353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16491CB2" w:rsidR="00CF7DEA" w:rsidRPr="006D32FE" w:rsidRDefault="002542FC" w:rsidP="00CF7DEA">
            <w:pPr>
              <w:rPr>
                <w:rFonts w:ascii="Cambria" w:hAnsi="Cambria"/>
                <w:sz w:val="20"/>
                <w:szCs w:val="20"/>
              </w:rPr>
            </w:pPr>
            <w:r w:rsidRPr="006B7DBD">
              <w:rPr>
                <w:rFonts w:ascii="Cambria" w:hAnsi="Cambria"/>
                <w:sz w:val="20"/>
                <w:szCs w:val="20"/>
              </w:rPr>
              <w:t>• Analyzing Data: The Rise and Fall of Cyclin or p. 352 • Science Skills Activity: Investigating Cell Regulation • Controls on Cell Division; TE p. 351 • Interactivity: Regulating Cell Growth • Cancer: Uncontrolled Cell Growth; TE p. 353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5F70DBB9" w:rsidR="00B31779" w:rsidRPr="006D32FE" w:rsidRDefault="0037122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371229">
              <w:rPr>
                <w:rFonts w:ascii="Cambria" w:hAnsi="Cambria"/>
                <w:sz w:val="20"/>
                <w:szCs w:val="20"/>
              </w:rPr>
              <w:t>Elaborate • PBL Interactivity: Optimizing Algal Growth • Stem Cells – Will stem cells change the future of healing? pp. 336-337</w:t>
            </w:r>
          </w:p>
        </w:tc>
      </w:tr>
      <w:tr w:rsidR="00925459" w:rsidRPr="006D32FE" w14:paraId="3BA6C9C0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="006D32FE" w:rsidRPr="006D32FE" w14:paraId="7B506449" w14:textId="77777777" w:rsidTr="29858D9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6D32FE" w:rsidRPr="006D32FE" w14:paraId="1E107C85" w14:textId="77777777" w:rsidTr="29858D9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2E64B6" w:rsidRPr="006D32FE" w14:paraId="59B4D4E8" w14:textId="77777777" w:rsidTr="29858D9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Pre-assessment, formative assessments, summative assessment, post-assessment, </w:t>
            </w: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lastRenderedPageBreak/>
              <w:t>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5FF1BFA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 on viruses and living characteristics</w:t>
            </w:r>
          </w:p>
        </w:tc>
      </w:tr>
      <w:tr w:rsidR="002E64B6" w:rsidRPr="006D32FE" w14:paraId="5511715C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15BC0AA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518F5B92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00945442">
              <w:rPr>
                <w:rFonts w:ascii="Cambria" w:hAnsi="Cambria"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03B8E1EF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13BCC5D2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Classification assignment on living things vs non living</w:t>
            </w:r>
          </w:p>
        </w:tc>
      </w:tr>
      <w:tr w:rsidR="002E64B6" w:rsidRPr="006D32FE" w14:paraId="0F6547DE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6D755FDD" w:rsidR="002E64B6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</w:tr>
      <w:tr w:rsidR="008031E8" w:rsidRPr="006D32FE" w14:paraId="51B3911D" w14:textId="77777777" w:rsidTr="29858D9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8173" w14:textId="77777777" w:rsidR="000A5B7F" w:rsidRDefault="000A5B7F">
      <w:pPr>
        <w:spacing w:line="240" w:lineRule="auto"/>
      </w:pPr>
      <w:r>
        <w:separator/>
      </w:r>
    </w:p>
  </w:endnote>
  <w:endnote w:type="continuationSeparator" w:id="0">
    <w:p w14:paraId="5E2C229A" w14:textId="77777777" w:rsidR="000A5B7F" w:rsidRDefault="000A5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EF0D" w14:textId="77777777" w:rsidR="000A5B7F" w:rsidRDefault="000A5B7F">
      <w:pPr>
        <w:spacing w:line="240" w:lineRule="auto"/>
      </w:pPr>
      <w:r>
        <w:separator/>
      </w:r>
    </w:p>
  </w:footnote>
  <w:footnote w:type="continuationSeparator" w:id="0">
    <w:p w14:paraId="5A8E6529" w14:textId="77777777" w:rsidR="000A5B7F" w:rsidRDefault="000A5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07"/>
    <w:rsid w:val="00062699"/>
    <w:rsid w:val="00066BFA"/>
    <w:rsid w:val="00082F9C"/>
    <w:rsid w:val="00083FD9"/>
    <w:rsid w:val="00087892"/>
    <w:rsid w:val="000901B5"/>
    <w:rsid w:val="00091959"/>
    <w:rsid w:val="00091D32"/>
    <w:rsid w:val="000A52CF"/>
    <w:rsid w:val="000A5B7F"/>
    <w:rsid w:val="000A7D71"/>
    <w:rsid w:val="000B1A2E"/>
    <w:rsid w:val="000B7D40"/>
    <w:rsid w:val="000C43D1"/>
    <w:rsid w:val="000C6B0C"/>
    <w:rsid w:val="000D0E94"/>
    <w:rsid w:val="000D1CF4"/>
    <w:rsid w:val="000D507B"/>
    <w:rsid w:val="000E2A07"/>
    <w:rsid w:val="000E36FE"/>
    <w:rsid w:val="000E5B02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5B4"/>
    <w:rsid w:val="00185642"/>
    <w:rsid w:val="00185F61"/>
    <w:rsid w:val="00187BF6"/>
    <w:rsid w:val="001908EB"/>
    <w:rsid w:val="001A0360"/>
    <w:rsid w:val="001B05F5"/>
    <w:rsid w:val="001B168C"/>
    <w:rsid w:val="001B402B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542FC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7AAB"/>
    <w:rsid w:val="002A22E5"/>
    <w:rsid w:val="002B6E96"/>
    <w:rsid w:val="002C0C11"/>
    <w:rsid w:val="002C32D6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2F483B"/>
    <w:rsid w:val="00302150"/>
    <w:rsid w:val="003037C4"/>
    <w:rsid w:val="003138D7"/>
    <w:rsid w:val="00322EBF"/>
    <w:rsid w:val="003245A2"/>
    <w:rsid w:val="00325CAD"/>
    <w:rsid w:val="003378B1"/>
    <w:rsid w:val="00341DB6"/>
    <w:rsid w:val="003422D0"/>
    <w:rsid w:val="00343612"/>
    <w:rsid w:val="00345EA3"/>
    <w:rsid w:val="003524BF"/>
    <w:rsid w:val="00355704"/>
    <w:rsid w:val="003643CE"/>
    <w:rsid w:val="00364713"/>
    <w:rsid w:val="00365F10"/>
    <w:rsid w:val="0036648D"/>
    <w:rsid w:val="00371229"/>
    <w:rsid w:val="00371E81"/>
    <w:rsid w:val="00381963"/>
    <w:rsid w:val="00382425"/>
    <w:rsid w:val="0038282E"/>
    <w:rsid w:val="003915D3"/>
    <w:rsid w:val="0039668A"/>
    <w:rsid w:val="003A079B"/>
    <w:rsid w:val="003C230C"/>
    <w:rsid w:val="003C2E29"/>
    <w:rsid w:val="003C4547"/>
    <w:rsid w:val="003D6265"/>
    <w:rsid w:val="003E006A"/>
    <w:rsid w:val="003E01DF"/>
    <w:rsid w:val="003E1F0F"/>
    <w:rsid w:val="003E446D"/>
    <w:rsid w:val="003E484C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B42DF"/>
    <w:rsid w:val="004C1CDC"/>
    <w:rsid w:val="004C4004"/>
    <w:rsid w:val="004C4218"/>
    <w:rsid w:val="004F0806"/>
    <w:rsid w:val="004F4EFB"/>
    <w:rsid w:val="005009C6"/>
    <w:rsid w:val="0050398F"/>
    <w:rsid w:val="00503AC2"/>
    <w:rsid w:val="00505A49"/>
    <w:rsid w:val="00510D04"/>
    <w:rsid w:val="0051416F"/>
    <w:rsid w:val="005169AE"/>
    <w:rsid w:val="005222F3"/>
    <w:rsid w:val="00523C1F"/>
    <w:rsid w:val="00524797"/>
    <w:rsid w:val="005255E9"/>
    <w:rsid w:val="00525C16"/>
    <w:rsid w:val="00527B6C"/>
    <w:rsid w:val="00527FC8"/>
    <w:rsid w:val="00531986"/>
    <w:rsid w:val="0053571A"/>
    <w:rsid w:val="0054054D"/>
    <w:rsid w:val="00541431"/>
    <w:rsid w:val="00542987"/>
    <w:rsid w:val="00547560"/>
    <w:rsid w:val="0055047B"/>
    <w:rsid w:val="0055332E"/>
    <w:rsid w:val="0057009D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E478F"/>
    <w:rsid w:val="005F5848"/>
    <w:rsid w:val="005F7F4F"/>
    <w:rsid w:val="00601333"/>
    <w:rsid w:val="00603574"/>
    <w:rsid w:val="0060575D"/>
    <w:rsid w:val="00613850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191D"/>
    <w:rsid w:val="0067071E"/>
    <w:rsid w:val="0067435B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B7DBD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37EF9"/>
    <w:rsid w:val="007404CE"/>
    <w:rsid w:val="00740A9B"/>
    <w:rsid w:val="00746F1F"/>
    <w:rsid w:val="007470C5"/>
    <w:rsid w:val="0075044D"/>
    <w:rsid w:val="00755687"/>
    <w:rsid w:val="00756053"/>
    <w:rsid w:val="00757387"/>
    <w:rsid w:val="00757901"/>
    <w:rsid w:val="007601AE"/>
    <w:rsid w:val="00763E4C"/>
    <w:rsid w:val="0076603D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730"/>
    <w:rsid w:val="007E78E9"/>
    <w:rsid w:val="008016AE"/>
    <w:rsid w:val="00802BAA"/>
    <w:rsid w:val="008031E8"/>
    <w:rsid w:val="0080638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67EA5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3201B"/>
    <w:rsid w:val="00945442"/>
    <w:rsid w:val="00945E73"/>
    <w:rsid w:val="00947985"/>
    <w:rsid w:val="00955D52"/>
    <w:rsid w:val="00976BF3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476D"/>
    <w:rsid w:val="00A0518B"/>
    <w:rsid w:val="00A06693"/>
    <w:rsid w:val="00A12B4D"/>
    <w:rsid w:val="00A16126"/>
    <w:rsid w:val="00A16336"/>
    <w:rsid w:val="00A23246"/>
    <w:rsid w:val="00A24D80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088C"/>
    <w:rsid w:val="00B01DA9"/>
    <w:rsid w:val="00B052A8"/>
    <w:rsid w:val="00B0558A"/>
    <w:rsid w:val="00B06DA9"/>
    <w:rsid w:val="00B15058"/>
    <w:rsid w:val="00B16504"/>
    <w:rsid w:val="00B179C1"/>
    <w:rsid w:val="00B252EA"/>
    <w:rsid w:val="00B30B65"/>
    <w:rsid w:val="00B31779"/>
    <w:rsid w:val="00B33395"/>
    <w:rsid w:val="00B361BA"/>
    <w:rsid w:val="00B37632"/>
    <w:rsid w:val="00B37DAF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61461"/>
    <w:rsid w:val="00B72C47"/>
    <w:rsid w:val="00B75EF9"/>
    <w:rsid w:val="00B76D65"/>
    <w:rsid w:val="00B916E7"/>
    <w:rsid w:val="00B971C1"/>
    <w:rsid w:val="00BB375A"/>
    <w:rsid w:val="00BD4E5C"/>
    <w:rsid w:val="00BD4FFF"/>
    <w:rsid w:val="00BD6569"/>
    <w:rsid w:val="00BE7787"/>
    <w:rsid w:val="00BF215D"/>
    <w:rsid w:val="00BF46ED"/>
    <w:rsid w:val="00C03086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226B"/>
    <w:rsid w:val="00CB398A"/>
    <w:rsid w:val="00CC1607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5355D"/>
    <w:rsid w:val="00D6684F"/>
    <w:rsid w:val="00D72720"/>
    <w:rsid w:val="00D7352D"/>
    <w:rsid w:val="00D76EBA"/>
    <w:rsid w:val="00D843CA"/>
    <w:rsid w:val="00D8546D"/>
    <w:rsid w:val="00D93130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DF089B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56804"/>
    <w:rsid w:val="00E621D4"/>
    <w:rsid w:val="00E67E33"/>
    <w:rsid w:val="00E72D37"/>
    <w:rsid w:val="00E72E0E"/>
    <w:rsid w:val="00E74A9C"/>
    <w:rsid w:val="00E778C8"/>
    <w:rsid w:val="00E77BE2"/>
    <w:rsid w:val="00E84D71"/>
    <w:rsid w:val="00E8610F"/>
    <w:rsid w:val="00E86611"/>
    <w:rsid w:val="00E90913"/>
    <w:rsid w:val="00E944C3"/>
    <w:rsid w:val="00EA00D6"/>
    <w:rsid w:val="00EA1A1C"/>
    <w:rsid w:val="00EB3028"/>
    <w:rsid w:val="00EB5FDB"/>
    <w:rsid w:val="00EB6477"/>
    <w:rsid w:val="00EC0BDD"/>
    <w:rsid w:val="00EC315F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248A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8F65B7F"/>
    <w:rsid w:val="197DB775"/>
    <w:rsid w:val="1C98FDB8"/>
    <w:rsid w:val="1D0DBB2B"/>
    <w:rsid w:val="1DD2BBE2"/>
    <w:rsid w:val="204C1EA0"/>
    <w:rsid w:val="25A6C6C4"/>
    <w:rsid w:val="29858D96"/>
    <w:rsid w:val="2E75C039"/>
    <w:rsid w:val="32CBA7E5"/>
    <w:rsid w:val="3F480322"/>
    <w:rsid w:val="41AD4526"/>
    <w:rsid w:val="4246D6D6"/>
    <w:rsid w:val="4FDE7AA9"/>
    <w:rsid w:val="510D6384"/>
    <w:rsid w:val="54D0127C"/>
    <w:rsid w:val="56743E2E"/>
    <w:rsid w:val="5833F096"/>
    <w:rsid w:val="64D1003C"/>
    <w:rsid w:val="6A7608B4"/>
    <w:rsid w:val="754A25A2"/>
    <w:rsid w:val="78E98E67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WILLIAM  JARVIS</cp:lastModifiedBy>
  <cp:revision>12</cp:revision>
  <cp:lastPrinted>2024-10-03T17:15:00Z</cp:lastPrinted>
  <dcterms:created xsi:type="dcterms:W3CDTF">2024-11-07T17:52:00Z</dcterms:created>
  <dcterms:modified xsi:type="dcterms:W3CDTF">2024-11-07T17:57:00Z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