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342900</wp:posOffset>
            </wp:positionH>
            <wp:positionV relativeFrom="page">
              <wp:posOffset>480013</wp:posOffset>
            </wp:positionV>
            <wp:extent cx="1132893" cy="859257"/>
            <wp:effectExtent b="0" l="0" r="0" t="0"/>
            <wp:wrapNone/>
            <wp:docPr descr="A blue and grey logo with claws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A blue and grey logo with claws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21457" r="2185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2893" cy="8592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8562975</wp:posOffset>
            </wp:positionH>
            <wp:positionV relativeFrom="page">
              <wp:posOffset>470488</wp:posOffset>
            </wp:positionV>
            <wp:extent cx="1132893" cy="859257"/>
            <wp:effectExtent b="0" l="0" r="0" t="0"/>
            <wp:wrapNone/>
            <wp:docPr descr="A blue and grey logo with claws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A blue and grey logo with claws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21457" r="2185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2893" cy="8592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50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15"/>
        <w:gridCol w:w="2490"/>
        <w:gridCol w:w="2460"/>
        <w:gridCol w:w="2475"/>
        <w:gridCol w:w="2475"/>
        <w:gridCol w:w="2475"/>
        <w:tblGridChange w:id="0">
          <w:tblGrid>
            <w:gridCol w:w="2715"/>
            <w:gridCol w:w="2490"/>
            <w:gridCol w:w="2460"/>
            <w:gridCol w:w="2475"/>
            <w:gridCol w:w="2475"/>
            <w:gridCol w:w="2475"/>
          </w:tblGrid>
        </w:tblGridChange>
      </w:tblGrid>
      <w:tr>
        <w:trPr>
          <w:cantSplit w:val="0"/>
          <w:trHeight w:val="1464.9414062500002" w:hRule="atLeast"/>
          <w:tblHeader w:val="0"/>
        </w:trPr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38"/>
                <w:szCs w:val="3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38"/>
                <w:szCs w:val="38"/>
                <w:rtl w:val="0"/>
              </w:rPr>
              <w:t xml:space="preserve">2024-2025 Weekly Lesson Planning Document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Cambria" w:cs="Cambria" w:eastAsia="Cambria" w:hAnsi="Cambria"/>
                <w:sz w:val="38"/>
                <w:szCs w:val="38"/>
              </w:rPr>
            </w:pPr>
            <w:r w:rsidDel="00000000" w:rsidR="00000000" w:rsidRPr="00000000">
              <w:rPr>
                <w:rFonts w:ascii="Cambria" w:cs="Cambria" w:eastAsia="Cambria" w:hAnsi="Cambria"/>
                <w:sz w:val="38"/>
                <w:szCs w:val="38"/>
                <w:rtl w:val="0"/>
              </w:rPr>
              <w:t xml:space="preserve">Week of Monday 1/20/25  through Friday, 1/25/25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hd w:fill="auto" w:val="clear"/>
              <w:tabs>
                <w:tab w:val="left" w:leader="none" w:pos="5760"/>
                <w:tab w:val="left" w:leader="none" w:pos="6840"/>
                <w:tab w:val="left" w:leader="none" w:pos="11970"/>
              </w:tabs>
              <w:spacing w:after="0" w:line="240" w:lineRule="auto"/>
              <w:rPr>
                <w:rFonts w:ascii="Shadows Into Light Two" w:cs="Shadows Into Light Two" w:eastAsia="Shadows Into Light Two" w:hAnsi="Shadows Into Light Two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1"/>
                <w:szCs w:val="21"/>
                <w:rtl w:val="0"/>
              </w:rPr>
              <w:t xml:space="preserve">EDUCATOR’S NAME:</w:t>
            </w:r>
            <w:r w:rsidDel="00000000" w:rsidR="00000000" w:rsidRPr="00000000">
              <w:rPr>
                <w:rFonts w:ascii="Shadows Into Light Two" w:cs="Shadows Into Light Two" w:eastAsia="Shadows Into Light Two" w:hAnsi="Shadows Into Light Two"/>
                <w:b w:val="1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Shadows Into Light Two" w:cs="Shadows Into Light Two" w:eastAsia="Shadows Into Light Two" w:hAnsi="Shadows Into Light Two"/>
                <w:b w:val="1"/>
                <w:sz w:val="25"/>
                <w:szCs w:val="25"/>
                <w:rtl w:val="0"/>
              </w:rPr>
              <w:t xml:space="preserve"> Scarborough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9"/>
                <w:szCs w:val="19"/>
                <w:rtl w:val="0"/>
              </w:rPr>
              <w:t xml:space="preserve">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5760"/>
                <w:tab w:val="left" w:leader="none" w:pos="6840"/>
                <w:tab w:val="left" w:leader="none" w:pos="11970"/>
              </w:tabs>
              <w:spacing w:line="240" w:lineRule="auto"/>
              <w:rPr>
                <w:rFonts w:ascii="Cambria" w:cs="Cambria" w:eastAsia="Cambria" w:hAnsi="Cambria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1"/>
                <w:szCs w:val="21"/>
                <w:rtl w:val="0"/>
              </w:rPr>
              <w:t xml:space="preserve">SUBJECT:  </w:t>
            </w:r>
            <w:r w:rsidDel="00000000" w:rsidR="00000000" w:rsidRPr="00000000">
              <w:rPr>
                <w:rFonts w:ascii="Shadows Into Light Two" w:cs="Shadows Into Light Two" w:eastAsia="Shadows Into Light Two" w:hAnsi="Shadows Into Light Two"/>
                <w:b w:val="1"/>
                <w:sz w:val="25"/>
                <w:szCs w:val="25"/>
                <w:rtl w:val="0"/>
              </w:rPr>
              <w:t xml:space="preserve">U.S. History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adows Into Light Two" w:cs="Shadows Into Light Two" w:eastAsia="Shadows Into Light Two" w:hAnsi="Shadows Into Light Two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1"/>
                <w:szCs w:val="21"/>
                <w:rtl w:val="0"/>
              </w:rPr>
              <w:t xml:space="preserve">WEEK:  </w:t>
            </w:r>
            <w:r w:rsidDel="00000000" w:rsidR="00000000" w:rsidRPr="00000000">
              <w:rPr>
                <w:rFonts w:ascii="Shadows Into Light Two" w:cs="Shadows Into Light Two" w:eastAsia="Shadows Into Light Two" w:hAnsi="Shadows Into Light Two"/>
                <w:b w:val="1"/>
                <w:sz w:val="25"/>
                <w:szCs w:val="25"/>
                <w:rtl w:val="0"/>
              </w:rPr>
              <w:t xml:space="preserve">Quarter 3, Week 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color w:val="ffff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color w:val="ffff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color w:val="ffff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color w:val="ffff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color w:val="ffff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Texts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MLK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225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Benson’s 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sz w:val="20"/>
                <w:szCs w:val="20"/>
                <w:rtl w:val="0"/>
              </w:rPr>
              <w:t xml:space="preserve">The Americans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225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Primary 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225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Benson’s 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sz w:val="20"/>
                <w:szCs w:val="20"/>
                <w:rtl w:val="0"/>
              </w:rPr>
              <w:t xml:space="preserve">The Americans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225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Primary 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225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Benson’s 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sz w:val="20"/>
                <w:szCs w:val="20"/>
                <w:rtl w:val="0"/>
              </w:rPr>
              <w:t xml:space="preserve">The Americans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225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Primary sources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225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Benson’s 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sz w:val="20"/>
                <w:szCs w:val="20"/>
                <w:rtl w:val="0"/>
              </w:rPr>
              <w:t xml:space="preserve">The Americans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180" w:hanging="225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Primary sources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TN Standard(s)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MLK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**Scarborough-Review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**Lyons-Test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**Stephens-Thursday’s Lesson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TEST-Scarborough and Stephens</w:t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**Lyons Test corrections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US. 45 Explain the rise and spread of fascism, communism, and totalitarianism internationally.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US. 45 Explain the rise and spread of fascism, communism, and totalitarianism internationally.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Objective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MLK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I can demonstrate knowledge of Unit 5 The Great Depression and the New Deal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I can demonstrate knowledge of Unit 5 The Great Depression and the New Deal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I can explain the conditions in Europe and Japan that led to authoritarian leadership.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I can explain the governmental systems of fascism, communism, and totalitarianism and how they conflict with world peace.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Literacy-Based DO NOW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MLK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Explain multiple choice questions from the previous lesson or assessment.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TEST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Explain multiple choice questions from the previous lesson or assessment.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Explain multiple choice questions from the previous lesson or assessment.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Hook/Essential Question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MLK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REVIEW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TEST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Why did Europe and Japan turn to authoritarian governments in the 1930s?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Why do these three governmental systems make peaceful foreign relations difficult?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 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MLK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REVIEW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TEST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Video Lecture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Video Lecture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We 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MLK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REVIEW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TEST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Mini lesson on the rise of Nazisim in the 1930s.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Gallery walk on governments and their goals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You 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MLK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REVIEW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TEST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Targeted Reading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Targeted Reading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Literacy Based Closing 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MLK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REVIEW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TEST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TACO...political cartoon on the rise of Hitler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ACE…analysis of nazism and communism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Assessment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MLK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STUDY GUIDE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57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TEST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Literacy Based Closing Activity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59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Literacy Based Closing Activity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SPED Modification 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Extended Time, Peer Tutor, Scaffolding, Preferential Seating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ESL Modification 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Word bank, Extended Time, Peer Tutor, Translation services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Extension/Enrichment Activity (s):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0" w:before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Students will complete a directed reading with text annotations, followed by reflective writing and answering the textbook's guided questions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Technology Integration: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after="0" w:before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Technology will be integrated as appropriate to enhance instructional delivery and student engagement, leveraging available tools and resources to support learning objectives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Vocabulary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after="0" w:before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tabs>
          <w:tab w:val="left" w:leader="none" w:pos="5760"/>
          <w:tab w:val="left" w:leader="none" w:pos="6840"/>
          <w:tab w:val="left" w:leader="none" w:pos="11970"/>
        </w:tabs>
        <w:spacing w:line="240" w:lineRule="auto"/>
        <w:rPr>
          <w:rFonts w:ascii="Shadows Into Light Two" w:cs="Shadows Into Light Two" w:eastAsia="Shadows Into Light Two" w:hAnsi="Shadows Into Light Two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5760"/>
          <w:tab w:val="left" w:leader="none" w:pos="6840"/>
          <w:tab w:val="left" w:leader="none" w:pos="11970"/>
        </w:tabs>
        <w:spacing w:line="240" w:lineRule="auto"/>
        <w:rPr/>
      </w:pPr>
      <w:r w:rsidDel="00000000" w:rsidR="00000000" w:rsidRPr="00000000">
        <w:rPr>
          <w:rFonts w:ascii="Shadows Into Light Two" w:cs="Shadows Into Light Two" w:eastAsia="Shadows Into Light Two" w:hAnsi="Shadows Into Light Two"/>
          <w:b w:val="1"/>
          <w:sz w:val="27"/>
          <w:szCs w:val="27"/>
          <w:rtl w:val="0"/>
        </w:rPr>
        <w:t xml:space="preserve">**Pacing may vary among classrooms due to absences. Adjustments may be made to ensure students are fully engaged with the content.</w:t>
      </w:r>
      <w:r w:rsidDel="00000000" w:rsidR="00000000" w:rsidRPr="00000000">
        <w:rPr>
          <w:rtl w:val="0"/>
        </w:rPr>
      </w:r>
    </w:p>
    <w:sectPr>
      <w:pgSz w:h="12240" w:w="15840" w:orient="landscape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hadows Into Light Two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80" w:hanging="225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ShadowsIntoLightTw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